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B407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安徽省交通控股集团有限公司2025年度</w:t>
      </w:r>
    </w:p>
    <w:p w14:paraId="084BAD90">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新建改建路段服务区家具采购</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02CB63D9">
      <w:pPr>
        <w:pStyle w:val="9"/>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66F9F024">
          <w:pPr>
            <w:pStyle w:val="15"/>
            <w:tabs>
              <w:tab w:val="right" w:leader="dot" w:pos="83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_Toc14503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第一章 </w:t>
          </w:r>
          <w:r>
            <w:rPr>
              <w:rFonts w:hint="eastAsia" w:ascii="Times New Roman" w:hAnsi="Times New Roman" w:eastAsia="宋体" w:cs="Times New Roman"/>
              <w:highlight w:val="none"/>
              <w:lang w:val="en-US" w:eastAsia="zh-CN"/>
            </w:rPr>
            <w:t>预</w:t>
          </w:r>
          <w:r>
            <w:rPr>
              <w:rFonts w:ascii="Times New Roman" w:hAnsi="Times New Roman" w:eastAsia="宋体" w:cs="Times New Roman"/>
              <w:highlight w:val="none"/>
            </w:rPr>
            <w:t>采购公告</w:t>
          </w:r>
          <w:r>
            <w:tab/>
          </w:r>
          <w:r>
            <w:fldChar w:fldCharType="begin"/>
          </w:r>
          <w:r>
            <w:instrText xml:space="preserve"> PAGEREF _Toc14503 \h </w:instrText>
          </w:r>
          <w:r>
            <w:fldChar w:fldCharType="separate"/>
          </w:r>
          <w:r>
            <w:t>3</w:t>
          </w:r>
          <w:r>
            <w:fldChar w:fldCharType="end"/>
          </w:r>
          <w:r>
            <w:rPr>
              <w:rFonts w:hint="eastAsia" w:ascii="宋体" w:hAnsi="宋体" w:eastAsia="宋体" w:cs="宋体"/>
              <w:color w:val="auto"/>
              <w:szCs w:val="24"/>
              <w:highlight w:val="none"/>
            </w:rPr>
            <w:fldChar w:fldCharType="end"/>
          </w:r>
        </w:p>
        <w:p w14:paraId="668988FE">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_Toc30652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highlight w:val="none"/>
            </w:rPr>
            <w:t>供应商须知</w:t>
          </w:r>
          <w:r>
            <w:tab/>
          </w:r>
          <w:r>
            <w:fldChar w:fldCharType="begin"/>
          </w:r>
          <w:r>
            <w:instrText xml:space="preserve"> PAGEREF _Toc30652 \h </w:instrText>
          </w:r>
          <w:r>
            <w:fldChar w:fldCharType="separate"/>
          </w:r>
          <w:r>
            <w:t>7</w:t>
          </w:r>
          <w:r>
            <w:fldChar w:fldCharType="end"/>
          </w:r>
          <w:r>
            <w:rPr>
              <w:rFonts w:hint="eastAsia" w:ascii="宋体" w:hAnsi="宋体" w:eastAsia="宋体" w:cs="宋体"/>
              <w:color w:val="auto"/>
              <w:szCs w:val="24"/>
              <w:highlight w:val="none"/>
            </w:rPr>
            <w:fldChar w:fldCharType="end"/>
          </w:r>
        </w:p>
        <w:p w14:paraId="5799CE5A">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_Toc18083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highlight w:val="none"/>
            </w:rPr>
            <w:t>评审办法</w:t>
          </w:r>
          <w:r>
            <w:tab/>
          </w:r>
          <w:r>
            <w:fldChar w:fldCharType="begin"/>
          </w:r>
          <w:r>
            <w:instrText xml:space="preserve"> PAGEREF _Toc18083 \h </w:instrText>
          </w:r>
          <w:r>
            <w:fldChar w:fldCharType="separate"/>
          </w:r>
          <w:r>
            <w:t>18</w:t>
          </w:r>
          <w:r>
            <w:fldChar w:fldCharType="end"/>
          </w:r>
          <w:r>
            <w:rPr>
              <w:rFonts w:hint="eastAsia" w:ascii="宋体" w:hAnsi="宋体" w:eastAsia="宋体" w:cs="宋体"/>
              <w:color w:val="auto"/>
              <w:szCs w:val="24"/>
              <w:highlight w:val="none"/>
            </w:rPr>
            <w:fldChar w:fldCharType="end"/>
          </w:r>
        </w:p>
        <w:p w14:paraId="328EDBB7">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_Toc20520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第四章 </w:t>
          </w:r>
          <w:r>
            <w:rPr>
              <w:rFonts w:ascii="Times New Roman" w:hAnsi="Times New Roman" w:eastAsia="宋体" w:cs="Times New Roman"/>
              <w:highlight w:val="none"/>
            </w:rPr>
            <w:t>合同内容</w:t>
          </w:r>
          <w:r>
            <w:tab/>
          </w:r>
          <w:r>
            <w:fldChar w:fldCharType="begin"/>
          </w:r>
          <w:r>
            <w:instrText xml:space="preserve"> PAGEREF _Toc20520 \h </w:instrText>
          </w:r>
          <w:r>
            <w:fldChar w:fldCharType="separate"/>
          </w:r>
          <w:r>
            <w:t>26</w:t>
          </w:r>
          <w:r>
            <w:fldChar w:fldCharType="end"/>
          </w:r>
          <w:r>
            <w:rPr>
              <w:rFonts w:hint="eastAsia" w:ascii="宋体" w:hAnsi="宋体" w:eastAsia="宋体" w:cs="宋体"/>
              <w:color w:val="auto"/>
              <w:szCs w:val="24"/>
              <w:highlight w:val="none"/>
            </w:rPr>
            <w:fldChar w:fldCharType="end"/>
          </w:r>
        </w:p>
        <w:p w14:paraId="5319DD74">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_Toc16600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第五章 采购需求及清单</w:t>
          </w:r>
          <w:r>
            <w:tab/>
          </w:r>
          <w:r>
            <w:fldChar w:fldCharType="begin"/>
          </w:r>
          <w:r>
            <w:instrText xml:space="preserve"> PAGEREF _Toc16600 \h </w:instrText>
          </w:r>
          <w:r>
            <w:fldChar w:fldCharType="separate"/>
          </w:r>
          <w:r>
            <w:t>44</w:t>
          </w:r>
          <w:r>
            <w:fldChar w:fldCharType="end"/>
          </w:r>
          <w:r>
            <w:rPr>
              <w:rFonts w:hint="eastAsia" w:ascii="宋体" w:hAnsi="宋体" w:eastAsia="宋体" w:cs="宋体"/>
              <w:color w:val="auto"/>
              <w:szCs w:val="24"/>
              <w:highlight w:val="none"/>
            </w:rPr>
            <w:fldChar w:fldCharType="end"/>
          </w:r>
        </w:p>
        <w:p w14:paraId="663D609C">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_Toc14141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第六章 </w:t>
          </w:r>
          <w:r>
            <w:rPr>
              <w:rFonts w:hint="eastAsia" w:ascii="Times New Roman" w:hAnsi="Times New Roman" w:eastAsia="宋体" w:cs="Times New Roman"/>
              <w:highlight w:val="none"/>
            </w:rPr>
            <w:t>响应文件格式</w:t>
          </w:r>
          <w:r>
            <w:tab/>
          </w:r>
          <w:r>
            <w:fldChar w:fldCharType="begin"/>
          </w:r>
          <w:r>
            <w:instrText xml:space="preserve"> PAGEREF _Toc14141 \h </w:instrText>
          </w:r>
          <w:r>
            <w:fldChar w:fldCharType="separate"/>
          </w:r>
          <w:r>
            <w:t>47</w:t>
          </w:r>
          <w:r>
            <w:fldChar w:fldCharType="end"/>
          </w:r>
          <w:r>
            <w:rPr>
              <w:rFonts w:hint="eastAsia" w:ascii="宋体" w:hAnsi="宋体" w:eastAsia="宋体" w:cs="宋体"/>
              <w:color w:val="auto"/>
              <w:szCs w:val="24"/>
              <w:highlight w:val="none"/>
            </w:rPr>
            <w:fldChar w:fldCharType="end"/>
          </w:r>
        </w:p>
        <w:p w14:paraId="498701D6">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bookmarkStart w:id="237" w:name="_GoBack"/>
      <w:bookmarkEnd w:id="237"/>
    </w:p>
    <w:p w14:paraId="263ECE98">
      <w:pPr>
        <w:pStyle w:val="2"/>
        <w:spacing w:before="312" w:after="312"/>
        <w:rPr>
          <w:rFonts w:ascii="Times New Roman" w:hAnsi="Times New Roman" w:eastAsia="宋体" w:cs="Times New Roman"/>
          <w:color w:val="auto"/>
          <w:highlight w:val="none"/>
        </w:rPr>
      </w:pPr>
      <w:bookmarkStart w:id="0" w:name="_Toc14503"/>
      <w:r>
        <w:rPr>
          <w:rFonts w:hint="eastAsia" w:ascii="Times New Roman" w:hAnsi="Times New Roman" w:eastAsia="宋体" w:cs="Times New Roman"/>
          <w:color w:val="auto"/>
          <w:highlight w:val="none"/>
          <w:lang w:val="en-US" w:eastAsia="zh-CN"/>
        </w:rPr>
        <w:t>预</w:t>
      </w:r>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4489_WPSOffice_Level2"/>
      <w:bookmarkStart w:id="2" w:name="_Toc10395_WPSOffice_Level2"/>
      <w:bookmarkStart w:id="3" w:name="_Toc24354_WPSOffice_Level2"/>
      <w:bookmarkStart w:id="4" w:name="_Toc12765"/>
      <w:bookmarkStart w:id="5" w:name="_Toc525632585"/>
      <w:bookmarkStart w:id="6" w:name="_Toc13871"/>
      <w:bookmarkStart w:id="7" w:name="_Toc6496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安徽省交通控股集团有限公司2025年度新建改建路段服务区家具采购及安装项目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安徽省交通控股集团所辖宁信高速的吕寨、阜南东服务区、太蕲高速天华服务区、天天高速竹丝湖、金社服务区、徐淮阜高速亳州段涡阳北服务区、亳蒙高速漆园服务区、固蚌高速王庄服务区、沪渝高速广德服务区及京台高速吴圩服务区的家具采购及安装</w:t>
      </w:r>
      <w:r>
        <w:rPr>
          <w:rFonts w:hint="default" w:ascii="Times New Roman" w:hAnsi="Times New Roman" w:eastAsia="宋体" w:cs="Times New Roman"/>
          <w:color w:val="auto"/>
          <w:kern w:val="0"/>
          <w:sz w:val="21"/>
          <w:szCs w:val="21"/>
          <w:highlight w:val="none"/>
          <w:u w:val="none"/>
          <w:lang w:eastAsia="zh-CN"/>
        </w:rPr>
        <w:t>。</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7858_WPSOffice_Level2"/>
      <w:bookmarkStart w:id="9" w:name="_Toc23266_WPSOffice_Level2"/>
      <w:bookmarkStart w:id="10" w:name="_Toc10274"/>
      <w:bookmarkStart w:id="11" w:name="_Toc18453"/>
      <w:bookmarkStart w:id="12" w:name="_Toc18367_WPSOffice_Level2"/>
      <w:bookmarkStart w:id="13" w:name="_Toc8128_WPSOffice_Level2"/>
      <w:bookmarkStart w:id="14" w:name="_Toc525632586"/>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人民币149.4万元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rPr>
        <w:t>接甲方通知之日起15天</w:t>
      </w:r>
      <w:r>
        <w:rPr>
          <w:rFonts w:hint="eastAsia" w:ascii="Times New Roman" w:hAnsi="Times New Roman" w:eastAsia="宋体" w:cs="Times New Roman"/>
          <w:color w:val="auto"/>
          <w:szCs w:val="21"/>
          <w:highlight w:val="none"/>
          <w:u w:val="single"/>
          <w:lang w:val="en-US" w:eastAsia="zh-CN"/>
        </w:rPr>
        <w:t>内</w:t>
      </w:r>
      <w:r>
        <w:rPr>
          <w:rFonts w:hint="default" w:ascii="Times New Roman" w:hAnsi="Times New Roman" w:eastAsia="宋体" w:cs="Times New Roman"/>
          <w:color w:val="auto"/>
          <w:szCs w:val="21"/>
          <w:highlight w:val="none"/>
          <w:u w:val="single"/>
        </w:rPr>
        <w:t>货到现场</w:t>
      </w:r>
      <w:r>
        <w:rPr>
          <w:rFonts w:hint="eastAsia" w:ascii="Times New Roman" w:hAnsi="Times New Roman" w:eastAsia="宋体" w:cs="Times New Roman"/>
          <w:color w:val="auto"/>
          <w:szCs w:val="21"/>
          <w:highlight w:val="none"/>
          <w:u w:val="single"/>
          <w:lang w:val="en-US" w:eastAsia="zh-CN"/>
        </w:rPr>
        <w:t>并安装完成</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41257F1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 w:val="21"/>
          <w:szCs w:val="21"/>
          <w:highlight w:val="none"/>
          <w:u w:val="single"/>
          <w:lang w:val="en-US" w:eastAsia="zh-CN"/>
        </w:rPr>
        <w:t>吕寨、阜南东服务区、太蕲高速天华服务区、天天高速竹丝湖、金社服务区、徐淮阜高速亳州段涡阳北服务区、亳蒙高速漆园服务区、固蚌高速王庄服务区、沪渝高速广德服务区及京台高速吴圩服务区，</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yellow"/>
          <w:lang w:val="en-US" w:eastAsia="zh-CN"/>
        </w:rPr>
        <w:t>注：本次采购拟选两家供应单位，即入围报价环节价格最低的前两名，报价最低的单位将作为本项目主要供应单位，另外一家作为备选单位。备选单位须响应报价最低单位的价格，如不能响应，将由采购人按候选人名次顺延备选供应单位。两家供应单位共同保障本次项目供应。</w:t>
      </w:r>
      <w:r>
        <w:rPr>
          <w:rFonts w:hint="eastAsia" w:ascii="Times New Roman" w:hAnsi="Times New Roman" w:eastAsia="宋体" w:cs="Times New Roman"/>
          <w:b/>
          <w:bCs/>
          <w:color w:val="auto"/>
          <w:szCs w:val="21"/>
          <w:highlight w:val="none"/>
          <w:lang w:val="en-US" w:eastAsia="zh-CN"/>
        </w:rPr>
        <w:t xml:space="preserve"> </w:t>
      </w:r>
      <w:r>
        <w:rPr>
          <w:rFonts w:hint="eastAsia" w:ascii="Times New Roman" w:hAnsi="Times New Roman" w:eastAsia="宋体" w:cs="Times New Roman"/>
          <w:color w:val="auto"/>
          <w:szCs w:val="21"/>
          <w:highlight w:val="none"/>
          <w:lang w:val="en-US" w:eastAsia="zh-CN"/>
        </w:rPr>
        <w:t xml:space="preserve">         </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50万</w:t>
      </w:r>
      <w:r>
        <w:rPr>
          <w:rFonts w:hint="default" w:ascii="Times New Roman" w:hAnsi="Times New Roman" w:cs="Times New Roman" w:eastAsiaTheme="minorEastAsia"/>
          <w:b w:val="0"/>
          <w:bCs w:val="0"/>
          <w:color w:val="auto"/>
          <w:highlight w:val="none"/>
          <w:u w:val="single"/>
          <w:lang w:val="en-US" w:eastAsia="zh-CN"/>
        </w:rPr>
        <w:t>元的</w:t>
      </w:r>
      <w:r>
        <w:rPr>
          <w:rFonts w:hint="eastAsia" w:ascii="Times New Roman" w:hAnsi="Times New Roman" w:cs="Times New Roman"/>
          <w:b w:val="0"/>
          <w:bCs w:val="0"/>
          <w:color w:val="auto"/>
          <w:highlight w:val="none"/>
          <w:u w:val="single"/>
          <w:lang w:val="en-US" w:eastAsia="zh-CN"/>
        </w:rPr>
        <w:t>家具类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29452_WPSOffice_Level2"/>
      <w:bookmarkStart w:id="19" w:name="_Toc25666_WPSOffice_Level2"/>
      <w:bookmarkStart w:id="20" w:name="_Toc2996_WPSOffice_Level2"/>
      <w:bookmarkStart w:id="21" w:name="_Toc525632588"/>
      <w:bookmarkStart w:id="22" w:name="_Toc4751"/>
      <w:bookmarkStart w:id="23" w:name="_Toc4109_WPSOffice_Level2"/>
      <w:bookmarkStart w:id="24" w:name="_Toc1994"/>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726"/>
      <w:bookmarkStart w:id="26" w:name="_Toc525632589"/>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付款备注：新改建服务区项目家具响应保证金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8501"/>
      <w:bookmarkStart w:id="30" w:name="_Toc20572_WPSOffice_Level2"/>
      <w:bookmarkStart w:id="31" w:name="_Toc26829"/>
      <w:bookmarkStart w:id="32" w:name="_Toc525632592"/>
      <w:bookmarkStart w:id="33" w:name="_Toc28571_WPSOffice_Level2"/>
      <w:bookmarkStart w:id="34" w:name="_Toc321_WPSOffice_Level2"/>
      <w:bookmarkStart w:id="35" w:name="_Toc14943_WPSOffice_Level2"/>
      <w:r>
        <w:rPr>
          <w:rFonts w:hint="eastAsia" w:ascii="Times New Roman" w:hAnsi="Times New Roman"/>
          <w:color w:val="auto"/>
          <w:sz w:val="21"/>
          <w:szCs w:val="22"/>
          <w:highlight w:val="none"/>
        </w:rPr>
        <w:t>本次</w:t>
      </w:r>
      <w:r>
        <w:rPr>
          <w:rFonts w:hint="eastAsia" w:ascii="Times New Roman" w:hAnsi="Times New Roman"/>
          <w:color w:val="auto"/>
          <w:sz w:val="21"/>
          <w:szCs w:val="22"/>
          <w:highlight w:val="none"/>
          <w:lang w:val="en-US" w:eastAsia="zh-CN"/>
        </w:rPr>
        <w:t>预</w:t>
      </w:r>
      <w:r>
        <w:rPr>
          <w:rFonts w:hint="eastAsia" w:ascii="Times New Roman" w:hAnsi="Times New Roman"/>
          <w:color w:val="auto"/>
          <w:sz w:val="21"/>
          <w:szCs w:val="22"/>
          <w:highlight w:val="none"/>
        </w:rPr>
        <w:t xml:space="preserve">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64AAB20">
      <w:pPr>
        <w:pStyle w:val="33"/>
        <w:jc w:val="both"/>
        <w:rPr>
          <w:rFonts w:hint="eastAsia" w:ascii="宋体" w:hAnsi="宋体" w:eastAsia="宋体" w:cs="宋体"/>
          <w:color w:val="auto"/>
          <w:sz w:val="21"/>
          <w:szCs w:val="21"/>
          <w:highlight w:val="none"/>
        </w:rPr>
      </w:pPr>
    </w:p>
    <w:p w14:paraId="3F5167B0">
      <w:pPr>
        <w:pStyle w:val="33"/>
        <w:jc w:val="both"/>
        <w:rPr>
          <w:rFonts w:hint="eastAsia" w:ascii="宋体" w:hAnsi="宋体" w:eastAsia="宋体" w:cs="宋体"/>
          <w:color w:val="auto"/>
          <w:sz w:val="21"/>
          <w:szCs w:val="21"/>
          <w:highlight w:val="none"/>
        </w:rPr>
      </w:pPr>
    </w:p>
    <w:p w14:paraId="7B02CDF2">
      <w:pPr>
        <w:pStyle w:val="33"/>
        <w:jc w:val="both"/>
        <w:rPr>
          <w:rFonts w:hint="eastAsia" w:ascii="宋体" w:hAnsi="宋体" w:eastAsia="宋体" w:cs="宋体"/>
          <w:color w:val="auto"/>
          <w:sz w:val="21"/>
          <w:szCs w:val="21"/>
          <w:highlight w:val="none"/>
        </w:rPr>
      </w:pPr>
    </w:p>
    <w:p w14:paraId="47F5354D">
      <w:pPr>
        <w:pStyle w:val="33"/>
        <w:jc w:val="both"/>
        <w:rPr>
          <w:rFonts w:hint="eastAsia" w:ascii="宋体" w:hAnsi="宋体" w:eastAsia="宋体" w:cs="宋体"/>
          <w:color w:val="auto"/>
          <w:sz w:val="21"/>
          <w:szCs w:val="21"/>
          <w:highlight w:val="none"/>
        </w:rPr>
      </w:pPr>
    </w:p>
    <w:p w14:paraId="013077F2">
      <w:pPr>
        <w:pStyle w:val="33"/>
        <w:jc w:val="both"/>
        <w:rPr>
          <w:rFonts w:hint="eastAsia" w:ascii="宋体" w:hAnsi="宋体" w:eastAsia="宋体" w:cs="宋体"/>
          <w:color w:val="auto"/>
          <w:sz w:val="21"/>
          <w:szCs w:val="21"/>
          <w:highlight w:val="none"/>
        </w:rPr>
      </w:pPr>
    </w:p>
    <w:p w14:paraId="2DED9ADE">
      <w:pPr>
        <w:pStyle w:val="33"/>
        <w:jc w:val="both"/>
        <w:rPr>
          <w:rFonts w:hint="eastAsia" w:ascii="宋体" w:hAnsi="宋体" w:eastAsia="宋体" w:cs="宋体"/>
          <w:color w:val="auto"/>
          <w:sz w:val="21"/>
          <w:szCs w:val="21"/>
          <w:highlight w:val="none"/>
        </w:rPr>
      </w:pPr>
    </w:p>
    <w:p w14:paraId="28659942">
      <w:pPr>
        <w:pStyle w:val="33"/>
        <w:jc w:val="both"/>
        <w:rPr>
          <w:rFonts w:hint="eastAsia" w:ascii="宋体" w:hAnsi="宋体" w:eastAsia="宋体" w:cs="宋体"/>
          <w:color w:val="auto"/>
          <w:sz w:val="21"/>
          <w:szCs w:val="21"/>
          <w:highlight w:val="none"/>
        </w:rPr>
      </w:pPr>
    </w:p>
    <w:p w14:paraId="0997C17A">
      <w:pPr>
        <w:pStyle w:val="33"/>
        <w:jc w:val="both"/>
        <w:rPr>
          <w:rFonts w:hint="eastAsia" w:ascii="宋体" w:hAnsi="宋体" w:eastAsia="宋体" w:cs="宋体"/>
          <w:color w:val="auto"/>
          <w:sz w:val="21"/>
          <w:szCs w:val="21"/>
          <w:highlight w:val="none"/>
        </w:rPr>
      </w:pPr>
    </w:p>
    <w:p w14:paraId="3F1EA6EE">
      <w:pPr>
        <w:pStyle w:val="33"/>
        <w:jc w:val="both"/>
        <w:rPr>
          <w:rFonts w:hint="eastAsia" w:ascii="宋体" w:hAnsi="宋体" w:eastAsia="宋体" w:cs="宋体"/>
          <w:color w:val="auto"/>
          <w:sz w:val="21"/>
          <w:szCs w:val="21"/>
          <w:highlight w:val="none"/>
        </w:rPr>
      </w:pPr>
    </w:p>
    <w:p w14:paraId="56D00CBB">
      <w:pPr>
        <w:pStyle w:val="33"/>
        <w:jc w:val="both"/>
        <w:rPr>
          <w:rFonts w:hint="eastAsia" w:ascii="宋体" w:hAnsi="宋体" w:eastAsia="宋体" w:cs="宋体"/>
          <w:color w:val="auto"/>
          <w:sz w:val="21"/>
          <w:szCs w:val="21"/>
          <w:highlight w:val="none"/>
        </w:rPr>
      </w:pPr>
    </w:p>
    <w:p w14:paraId="4C3B84C8">
      <w:pPr>
        <w:pStyle w:val="33"/>
        <w:jc w:val="both"/>
        <w:rPr>
          <w:rFonts w:hint="eastAsia" w:ascii="宋体" w:hAnsi="宋体" w:eastAsia="宋体" w:cs="宋体"/>
          <w:color w:val="auto"/>
          <w:sz w:val="21"/>
          <w:szCs w:val="21"/>
          <w:highlight w:val="none"/>
        </w:rPr>
      </w:pPr>
    </w:p>
    <w:p w14:paraId="4563208A">
      <w:pPr>
        <w:pStyle w:val="33"/>
        <w:jc w:val="both"/>
        <w:rPr>
          <w:rFonts w:hint="eastAsia" w:ascii="宋体" w:hAnsi="宋体" w:eastAsia="宋体" w:cs="宋体"/>
          <w:color w:val="auto"/>
          <w:sz w:val="21"/>
          <w:szCs w:val="21"/>
          <w:highlight w:val="none"/>
        </w:rPr>
      </w:pPr>
    </w:p>
    <w:p w14:paraId="1B82F335">
      <w:pPr>
        <w:pStyle w:val="33"/>
        <w:jc w:val="both"/>
        <w:rPr>
          <w:rFonts w:hint="eastAsia" w:ascii="宋体" w:hAnsi="宋体" w:eastAsia="宋体" w:cs="宋体"/>
          <w:color w:val="auto"/>
          <w:sz w:val="21"/>
          <w:szCs w:val="21"/>
          <w:highlight w:val="none"/>
        </w:rPr>
      </w:pPr>
    </w:p>
    <w:p w14:paraId="08804102">
      <w:pPr>
        <w:pStyle w:val="33"/>
        <w:jc w:val="both"/>
        <w:rPr>
          <w:rFonts w:hint="eastAsia" w:ascii="宋体" w:hAnsi="宋体" w:eastAsia="宋体" w:cs="宋体"/>
          <w:color w:val="auto"/>
          <w:sz w:val="21"/>
          <w:szCs w:val="21"/>
          <w:highlight w:val="none"/>
        </w:rPr>
      </w:pPr>
    </w:p>
    <w:p w14:paraId="101A032B">
      <w:pPr>
        <w:pStyle w:val="33"/>
        <w:jc w:val="both"/>
        <w:rPr>
          <w:rFonts w:hint="eastAsia" w:ascii="宋体" w:hAnsi="宋体" w:eastAsia="宋体" w:cs="宋体"/>
          <w:color w:val="auto"/>
          <w:sz w:val="21"/>
          <w:szCs w:val="21"/>
          <w:highlight w:val="none"/>
        </w:rPr>
      </w:pPr>
    </w:p>
    <w:p w14:paraId="6307BBE6">
      <w:pPr>
        <w:pStyle w:val="33"/>
        <w:jc w:val="both"/>
        <w:rPr>
          <w:rFonts w:hint="eastAsia" w:ascii="宋体" w:hAnsi="宋体" w:eastAsia="宋体" w:cs="宋体"/>
          <w:color w:val="auto"/>
          <w:sz w:val="21"/>
          <w:szCs w:val="21"/>
          <w:highlight w:val="none"/>
        </w:rPr>
      </w:pPr>
    </w:p>
    <w:p w14:paraId="63A50010">
      <w:pPr>
        <w:pStyle w:val="33"/>
        <w:jc w:val="both"/>
        <w:rPr>
          <w:rFonts w:hint="eastAsia" w:ascii="宋体" w:hAnsi="宋体" w:eastAsia="宋体" w:cs="宋体"/>
          <w:color w:val="auto"/>
          <w:sz w:val="21"/>
          <w:szCs w:val="21"/>
          <w:highlight w:val="none"/>
        </w:rPr>
      </w:pPr>
    </w:p>
    <w:p w14:paraId="30F5120D">
      <w:pPr>
        <w:pStyle w:val="33"/>
        <w:jc w:val="both"/>
        <w:rPr>
          <w:rFonts w:hint="eastAsia" w:ascii="宋体" w:hAnsi="宋体" w:eastAsia="宋体" w:cs="宋体"/>
          <w:color w:val="auto"/>
          <w:sz w:val="21"/>
          <w:szCs w:val="21"/>
          <w:highlight w:val="none"/>
        </w:rPr>
      </w:pPr>
    </w:p>
    <w:p w14:paraId="5851124D">
      <w:pPr>
        <w:pStyle w:val="33"/>
        <w:jc w:val="both"/>
        <w:rPr>
          <w:rFonts w:hint="eastAsia" w:ascii="宋体" w:hAnsi="宋体" w:eastAsia="宋体" w:cs="宋体"/>
          <w:color w:val="auto"/>
          <w:sz w:val="21"/>
          <w:szCs w:val="21"/>
          <w:highlight w:val="none"/>
        </w:rPr>
      </w:pPr>
    </w:p>
    <w:p w14:paraId="30D5A83E">
      <w:pPr>
        <w:pStyle w:val="33"/>
        <w:jc w:val="both"/>
        <w:rPr>
          <w:rFonts w:hint="eastAsia" w:ascii="宋体" w:hAnsi="宋体" w:eastAsia="宋体" w:cs="宋体"/>
          <w:color w:val="auto"/>
          <w:sz w:val="21"/>
          <w:szCs w:val="21"/>
          <w:highlight w:val="none"/>
        </w:rPr>
      </w:pPr>
    </w:p>
    <w:p w14:paraId="6FAEA4A5">
      <w:pPr>
        <w:pStyle w:val="33"/>
        <w:jc w:val="both"/>
        <w:rPr>
          <w:rFonts w:hint="eastAsia" w:ascii="宋体" w:hAnsi="宋体" w:eastAsia="宋体" w:cs="宋体"/>
          <w:color w:val="auto"/>
          <w:sz w:val="21"/>
          <w:szCs w:val="21"/>
          <w:highlight w:val="none"/>
        </w:rPr>
      </w:pPr>
    </w:p>
    <w:p w14:paraId="6BC42555">
      <w:pPr>
        <w:pStyle w:val="33"/>
        <w:jc w:val="both"/>
        <w:rPr>
          <w:rFonts w:hint="eastAsia" w:ascii="宋体" w:hAnsi="宋体" w:eastAsia="宋体" w:cs="宋体"/>
          <w:color w:val="auto"/>
          <w:sz w:val="21"/>
          <w:szCs w:val="21"/>
          <w:highlight w:val="none"/>
        </w:rPr>
      </w:pPr>
    </w:p>
    <w:p w14:paraId="112D0564">
      <w:pPr>
        <w:pStyle w:val="33"/>
        <w:jc w:val="both"/>
        <w:rPr>
          <w:rFonts w:hint="eastAsia" w:ascii="宋体" w:hAnsi="宋体" w:eastAsia="宋体" w:cs="宋体"/>
          <w:color w:val="auto"/>
          <w:sz w:val="21"/>
          <w:szCs w:val="21"/>
          <w:highlight w:val="none"/>
        </w:rPr>
      </w:pPr>
    </w:p>
    <w:p w14:paraId="2251A1FC">
      <w:pPr>
        <w:pStyle w:val="33"/>
        <w:jc w:val="both"/>
        <w:rPr>
          <w:rFonts w:hint="eastAsia" w:ascii="宋体" w:hAnsi="宋体" w:eastAsia="宋体" w:cs="宋体"/>
          <w:color w:val="auto"/>
          <w:sz w:val="21"/>
          <w:szCs w:val="21"/>
          <w:highlight w:val="none"/>
        </w:rPr>
      </w:pPr>
    </w:p>
    <w:p w14:paraId="77AF1245">
      <w:pPr>
        <w:pStyle w:val="33"/>
        <w:jc w:val="both"/>
        <w:rPr>
          <w:rFonts w:hint="eastAsia" w:ascii="宋体" w:hAnsi="宋体" w:eastAsia="宋体" w:cs="宋体"/>
          <w:color w:val="auto"/>
          <w:sz w:val="21"/>
          <w:szCs w:val="21"/>
          <w:highlight w:val="none"/>
        </w:rPr>
      </w:pPr>
    </w:p>
    <w:p w14:paraId="7A225206">
      <w:pPr>
        <w:pStyle w:val="33"/>
        <w:jc w:val="both"/>
        <w:rPr>
          <w:rFonts w:hint="eastAsia" w:ascii="宋体" w:hAnsi="宋体" w:eastAsia="宋体" w:cs="宋体"/>
          <w:color w:val="auto"/>
          <w:sz w:val="21"/>
          <w:szCs w:val="21"/>
          <w:highlight w:val="none"/>
        </w:rPr>
      </w:pPr>
    </w:p>
    <w:p w14:paraId="2669EE37">
      <w:pPr>
        <w:pStyle w:val="33"/>
        <w:jc w:val="both"/>
        <w:rPr>
          <w:rFonts w:hint="eastAsia" w:ascii="宋体" w:hAnsi="宋体" w:eastAsia="宋体" w:cs="宋体"/>
          <w:color w:val="auto"/>
          <w:sz w:val="21"/>
          <w:szCs w:val="21"/>
          <w:highlight w:val="none"/>
        </w:rPr>
      </w:pPr>
    </w:p>
    <w:p w14:paraId="79385DC1">
      <w:pPr>
        <w:pStyle w:val="33"/>
        <w:jc w:val="both"/>
        <w:rPr>
          <w:rFonts w:hint="eastAsia" w:ascii="宋体" w:hAnsi="宋体" w:eastAsia="宋体" w:cs="宋体"/>
          <w:color w:val="auto"/>
          <w:sz w:val="21"/>
          <w:szCs w:val="21"/>
          <w:highlight w:val="none"/>
        </w:rPr>
      </w:pPr>
    </w:p>
    <w:p w14:paraId="5DEAB7B2">
      <w:pPr>
        <w:pStyle w:val="33"/>
        <w:jc w:val="both"/>
        <w:rPr>
          <w:rFonts w:hint="eastAsia" w:ascii="宋体" w:hAnsi="宋体" w:eastAsia="宋体" w:cs="宋体"/>
          <w:color w:val="auto"/>
          <w:sz w:val="21"/>
          <w:szCs w:val="21"/>
          <w:highlight w:val="none"/>
        </w:rPr>
      </w:pPr>
    </w:p>
    <w:p w14:paraId="24EB2EA2">
      <w:pPr>
        <w:pStyle w:val="2"/>
        <w:spacing w:before="312" w:after="312"/>
        <w:rPr>
          <w:rFonts w:ascii="Times New Roman" w:hAnsi="Times New Roman" w:eastAsia="宋体" w:cs="Times New Roman"/>
          <w:color w:val="auto"/>
          <w:highlight w:val="none"/>
        </w:rPr>
      </w:pPr>
      <w:bookmarkStart w:id="36" w:name="_Toc30652"/>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9381_WPSOffice_Level2"/>
      <w:bookmarkStart w:id="38" w:name="_Toc16069"/>
      <w:bookmarkStart w:id="39" w:name="_Toc19501"/>
      <w:bookmarkStart w:id="40" w:name="_Toc55466811"/>
      <w:bookmarkStart w:id="41" w:name="_Toc26656928"/>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bCs/>
                <w:color w:val="auto"/>
                <w:kern w:val="0"/>
                <w:sz w:val="22"/>
                <w:szCs w:val="22"/>
                <w:highlight w:val="none"/>
                <w:lang w:val="en-US" w:eastAsia="zh-CN" w:bidi="ar"/>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w:t>
            </w:r>
            <w:r>
              <w:rPr>
                <w:rFonts w:hint="eastAsia"/>
                <w:b/>
                <w:bCs/>
                <w:color w:val="auto"/>
                <w:sz w:val="22"/>
                <w:szCs w:val="22"/>
                <w:highlight w:val="none"/>
                <w:lang w:val="en-US" w:eastAsia="zh-CN"/>
              </w:rPr>
              <w:t>预</w:t>
            </w:r>
            <w:r>
              <w:rPr>
                <w:rFonts w:hint="default"/>
                <w:b/>
                <w:bCs/>
                <w:color w:val="auto"/>
                <w:sz w:val="22"/>
                <w:szCs w:val="22"/>
                <w:highlight w:val="none"/>
              </w:rPr>
              <w:t>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w:t>
            </w:r>
            <w:r>
              <w:rPr>
                <w:rFonts w:hint="eastAsia" w:ascii="宋体" w:hAnsi="宋体" w:eastAsia="宋体" w:cs="宋体"/>
                <w:b/>
                <w:bCs/>
                <w:color w:val="auto"/>
                <w:sz w:val="22"/>
                <w:szCs w:val="22"/>
                <w:highlight w:val="none"/>
                <w:lang w:val="en-US" w:eastAsia="zh-CN"/>
              </w:rPr>
              <w:t>预</w:t>
            </w:r>
            <w:r>
              <w:rPr>
                <w:rFonts w:hint="eastAsia" w:ascii="宋体" w:hAnsi="宋体" w:eastAsia="宋体" w:cs="宋体"/>
                <w:b/>
                <w:bCs/>
                <w:color w:val="auto"/>
                <w:sz w:val="22"/>
                <w:szCs w:val="22"/>
                <w:highlight w:val="none"/>
                <w:lang w:eastAsia="zh-CN"/>
              </w:rPr>
              <w:t>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w:t>
            </w:r>
            <w:r>
              <w:rPr>
                <w:rFonts w:hint="eastAsia"/>
                <w:bCs/>
                <w:color w:val="auto"/>
                <w:kern w:val="0"/>
                <w:sz w:val="22"/>
                <w:szCs w:val="22"/>
                <w:highlight w:val="none"/>
                <w:lang w:val="en-US" w:eastAsia="zh-CN" w:bidi="ar"/>
              </w:rPr>
              <w:t>预</w:t>
            </w:r>
            <w:r>
              <w:rPr>
                <w:rFonts w:hint="eastAsia" w:eastAsia="宋体"/>
                <w:color w:val="auto"/>
                <w:sz w:val="22"/>
                <w:szCs w:val="22"/>
                <w:highlight w:val="none"/>
                <w:u w:val="none"/>
                <w:lang w:eastAsia="zh-CN"/>
              </w:rPr>
              <w:t>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14201207"/>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2CDCA50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46E39DD">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lang w:val="en-US" w:eastAsia="zh-CN"/>
              </w:rPr>
              <w:t>53</w:t>
            </w:r>
          </w:p>
        </w:tc>
        <w:tc>
          <w:tcPr>
            <w:tcW w:w="8540" w:type="dxa"/>
            <w:gridSpan w:val="2"/>
            <w:shd w:val="clear" w:color="auto" w:fill="auto"/>
            <w:vAlign w:val="center"/>
          </w:tcPr>
          <w:p w14:paraId="5F2BBD1E">
            <w:pPr>
              <w:keepNext w:val="0"/>
              <w:keepLines w:val="0"/>
              <w:suppressLineNumbers w:val="0"/>
              <w:spacing w:before="0" w:beforeAutospacing="0" w:after="0" w:afterAutospacing="0"/>
              <w:ind w:left="0" w:right="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本次比选项目为我方的意向模拟项目,存在后期未竞得该项目的可能，根据可能发生的情况按下述两种执行。</w:t>
            </w:r>
          </w:p>
          <w:p w14:paraId="789C575E">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kern w:val="2"/>
                <w:sz w:val="22"/>
                <w:szCs w:val="22"/>
                <w:highlight w:val="yellow"/>
                <w:lang w:val="en-US" w:eastAsia="zh-CN" w:bidi="ar-SA"/>
              </w:rPr>
              <w:t>1.</w:t>
            </w:r>
            <w:r>
              <w:rPr>
                <w:rFonts w:hint="eastAsia" w:ascii="宋体" w:hAnsi="宋体" w:eastAsia="宋体" w:cs="宋体"/>
                <w:b/>
                <w:bCs/>
                <w:color w:val="auto"/>
                <w:sz w:val="22"/>
                <w:szCs w:val="22"/>
                <w:highlight w:val="yellow"/>
                <w:lang w:val="en-US" w:eastAsia="zh-CN"/>
              </w:rPr>
              <w:t>若我方未竞得该项目，则执行本次比选项目终止，成交人视为无条件认同并接受本条款，不得以此进行索赔。</w:t>
            </w:r>
          </w:p>
          <w:p w14:paraId="5BBFFA55">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kern w:val="2"/>
                <w:sz w:val="22"/>
                <w:szCs w:val="22"/>
                <w:highlight w:val="yellow"/>
                <w:lang w:val="en-US" w:eastAsia="zh-CN" w:bidi="ar-SA"/>
              </w:rPr>
            </w:pPr>
            <w:r>
              <w:rPr>
                <w:rFonts w:hint="eastAsia" w:ascii="宋体" w:hAnsi="宋体" w:eastAsia="宋体" w:cs="宋体"/>
                <w:b/>
                <w:bCs/>
                <w:color w:val="auto"/>
                <w:sz w:val="22"/>
                <w:szCs w:val="22"/>
                <w:highlight w:val="yellow"/>
                <w:lang w:val="en-US" w:eastAsia="zh-CN"/>
              </w:rPr>
              <w:t>2.若我方竞得该项目，则执行与本次比选项目成交人签订采购合同，按合同履约程序。</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54</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63243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582204F">
            <w:pPr>
              <w:keepNext w:val="0"/>
              <w:keepLines w:val="0"/>
              <w:suppressLineNumbers w:val="0"/>
              <w:spacing w:before="0" w:beforeAutospacing="0" w:after="0" w:afterAutospacing="0"/>
              <w:ind w:left="0" w:leftChars="0" w:right="0" w:rightChars="0"/>
              <w:jc w:val="center"/>
              <w:rPr>
                <w:rFonts w:hint="default" w:ascii="宋体" w:hAnsi="宋体" w:eastAsia="宋体" w:cs="宋体"/>
                <w:b/>
                <w:bCs/>
                <w:color w:val="auto"/>
                <w:sz w:val="22"/>
                <w:szCs w:val="22"/>
                <w:highlight w:val="yellow"/>
                <w:lang w:val="en-US" w:eastAsia="zh-CN"/>
              </w:rPr>
            </w:pPr>
            <w:r>
              <w:rPr>
                <w:rFonts w:hint="eastAsia"/>
                <w:b/>
                <w:bCs/>
                <w:color w:val="auto"/>
                <w:sz w:val="22"/>
                <w:szCs w:val="21"/>
                <w:highlight w:val="none"/>
                <w:lang w:val="en-US" w:eastAsia="zh-CN"/>
              </w:rPr>
              <w:t>55</w:t>
            </w:r>
          </w:p>
        </w:tc>
        <w:tc>
          <w:tcPr>
            <w:tcW w:w="8540" w:type="dxa"/>
            <w:gridSpan w:val="2"/>
            <w:vAlign w:val="center"/>
          </w:tcPr>
          <w:p w14:paraId="09F6FFF9">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1.采购代理服务费：拟成交人须在领取成交通知书前向采购人或采购代理机构支付代理服务费（¥：16000.00元 大写：壹万陆仟元整），此费用不进行单独报价，包含在总报价。</w:t>
            </w:r>
          </w:p>
          <w:p w14:paraId="39B0689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2.以上相关费用，响应人在报价单中不单列，包含在响应总价中，采购人不再单独计量支付。</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50万</w:t>
            </w:r>
            <w:r>
              <w:rPr>
                <w:rFonts w:hint="eastAsia"/>
                <w:color w:val="auto"/>
                <w:highlight w:val="none"/>
                <w:lang w:val="en-US" w:eastAsia="zh-CN"/>
              </w:rPr>
              <w:t>元的</w:t>
            </w:r>
            <w:r>
              <w:rPr>
                <w:rFonts w:hint="eastAsia"/>
                <w:color w:val="auto"/>
                <w:highlight w:val="none"/>
                <w:u w:val="single"/>
                <w:lang w:val="en-US" w:eastAsia="zh-CN"/>
              </w:rPr>
              <w:t>家具类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8"/>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bCs/>
          <w:color w:val="auto"/>
          <w:kern w:val="0"/>
          <w:sz w:val="22"/>
          <w:szCs w:val="22"/>
          <w:highlight w:val="none"/>
          <w:lang w:val="en-US" w:eastAsia="zh-CN" w:bidi="ar"/>
        </w:rPr>
        <w:t>预</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bCs/>
          <w:color w:val="auto"/>
          <w:kern w:val="0"/>
          <w:sz w:val="22"/>
          <w:szCs w:val="22"/>
          <w:highlight w:val="none"/>
          <w:lang w:val="en-US" w:eastAsia="zh-CN" w:bidi="ar"/>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26656988"/>
      <w:bookmarkStart w:id="48" w:name="_Toc9067727"/>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9067731"/>
      <w:bookmarkStart w:id="53" w:name="_Toc14201263"/>
      <w:bookmarkStart w:id="54" w:name="_Toc26656994"/>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2E2898B1">
      <w:pPr>
        <w:pStyle w:val="8"/>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2"/>
        <w:spacing w:before="312" w:after="312"/>
        <w:rPr>
          <w:rFonts w:ascii="Times New Roman" w:hAnsi="Times New Roman" w:eastAsia="宋体" w:cs="Times New Roman"/>
          <w:color w:val="auto"/>
          <w:highlight w:val="none"/>
        </w:rPr>
      </w:pPr>
      <w:bookmarkStart w:id="55" w:name="_Toc18083"/>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52042304"/>
      <w:bookmarkStart w:id="57" w:name="_Toc152045528"/>
      <w:bookmarkStart w:id="58" w:name="_Toc447808662"/>
      <w:bookmarkStart w:id="59" w:name="_Toc144974496"/>
      <w:bookmarkStart w:id="60" w:name="_Toc3834"/>
      <w:bookmarkStart w:id="61" w:name="_Toc457482536"/>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724"/>
        <w:gridCol w:w="6430"/>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472"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57"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70"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pct"/>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957" w:type="pct"/>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3570" w:type="pct"/>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60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8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472" w:type="pct"/>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957" w:type="pct"/>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3570" w:type="pct"/>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4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2"/>
        <w:gridCol w:w="1662"/>
        <w:gridCol w:w="5558"/>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85"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20"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77"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85"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20"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60 </w:t>
            </w:r>
            <w:r>
              <w:rPr>
                <w:rFonts w:hint="eastAsia" w:ascii="宋体" w:hAnsi="宋体" w:cs="宋体"/>
                <w:color w:val="auto"/>
                <w:sz w:val="21"/>
                <w:szCs w:val="21"/>
                <w:highlight w:val="none"/>
              </w:rPr>
              <w:t>分）</w:t>
            </w:r>
          </w:p>
        </w:tc>
        <w:tc>
          <w:tcPr>
            <w:tcW w:w="3077"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50万</w:t>
            </w:r>
            <w:r>
              <w:rPr>
                <w:rFonts w:hint="eastAsia" w:ascii="宋体" w:hAnsi="宋体" w:cs="宋体"/>
                <w:color w:val="auto"/>
                <w:sz w:val="21"/>
                <w:szCs w:val="24"/>
                <w:highlight w:val="none"/>
              </w:rPr>
              <w:t>及以上的</w:t>
            </w:r>
            <w:r>
              <w:rPr>
                <w:rFonts w:hint="eastAsia" w:ascii="宋体" w:hAnsi="宋体" w:cs="宋体"/>
                <w:color w:val="auto"/>
                <w:sz w:val="21"/>
                <w:szCs w:val="24"/>
                <w:highlight w:val="none"/>
                <w:u w:val="single"/>
                <w:lang w:val="en-US" w:eastAsia="zh-CN"/>
              </w:rPr>
              <w:t>家具类</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85"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85"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85"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8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77"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优秀的得8-6分；一般的得5-3分，较差得基础分2分，未提供不得分。</w:t>
            </w:r>
            <w:r>
              <w:rPr>
                <w:rFonts w:hint="eastAsia" w:ascii="宋体" w:hAnsi="宋体" w:cs="宋体"/>
                <w:color w:val="auto"/>
                <w:sz w:val="21"/>
                <w:szCs w:val="21"/>
                <w:highlight w:val="none"/>
                <w:lang w:bidi="ar"/>
              </w:rPr>
              <w:t xml:space="preserve">  </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bookmarkStart w:id="63" w:name="_Toc20520"/>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0554ABED">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1.产品全部供货到现场经甲方指定验收人验收合格并办理完成结算手续后，甲方向乙方支付至结算价的97%。</w:t>
      </w:r>
    </w:p>
    <w:p w14:paraId="41B93CA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2.剩余3%作为质保金，在缺陷责任期结束后，无质量问题一次性无息支付。</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6EE82BA2">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CBA88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1F3E2ED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7日内提交给甲方。甲方收到乙方发票后，按合同约定向乙方付款，否则甲方有权迟延付款。</w:t>
      </w:r>
    </w:p>
    <w:p w14:paraId="58C23EC4">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7.如甲方出现资金困难，乙方同意给予1个月的付款宽限期，在此宽限期间内不视为甲方违约且不计息，乙方不得以此为由中断本项目的货物供应和安装。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8"/>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6"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6"/>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2"/>
        <w:numPr>
          <w:ilvl w:val="255"/>
          <w:numId w:val="0"/>
        </w:numPr>
        <w:spacing w:before="312" w:after="312"/>
        <w:ind w:left="402"/>
        <w:rPr>
          <w:rFonts w:ascii="Times New Roman" w:hAnsi="Times New Roman" w:eastAsia="宋体" w:cs="Times New Roman"/>
          <w:color w:val="auto"/>
          <w:highlight w:val="none"/>
        </w:rPr>
      </w:pPr>
      <w:bookmarkStart w:id="64" w:name="_Toc16600"/>
      <w:r>
        <w:rPr>
          <w:rFonts w:hint="eastAsia" w:ascii="Times New Roman" w:hAnsi="Times New Roman" w:eastAsia="宋体" w:cs="Times New Roman"/>
          <w:color w:val="auto"/>
          <w:highlight w:val="none"/>
          <w:lang w:val="en-US" w:eastAsia="zh-CN"/>
        </w:rPr>
        <w:t xml:space="preserve">第五章 </w:t>
      </w:r>
      <w:bookmarkStart w:id="65" w:name="_Toc25485"/>
      <w:bookmarkStart w:id="66" w:name="_Toc312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59E52AAF">
      <w:pPr>
        <w:pStyle w:val="19"/>
        <w:numPr>
          <w:ilvl w:val="0"/>
          <w:numId w:val="0"/>
        </w:numPr>
        <w:jc w:val="center"/>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一、供货要求</w:t>
      </w:r>
    </w:p>
    <w:p w14:paraId="1DF11D0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中标人应严格按照技术要求和国家、部(专业)有关标准生产和检验，确保产品质量。并且完全符合合同规定的质量、规格和性能的要求，并保证产品是全新的、未使用的。</w:t>
      </w:r>
    </w:p>
    <w:p w14:paraId="18A367B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中标人保证产品的性能和质量，并在其使用寿命内应具有满意的性能。</w:t>
      </w:r>
    </w:p>
    <w:p w14:paraId="043ED4D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中标人对产品的质量应按国家和部(专业)颁布的质量标准或验收规范进行验收。</w:t>
      </w:r>
    </w:p>
    <w:p w14:paraId="7D0A205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在产品使用期内，如因招标人使用不当和保管不善造成的问题，中标人应配合解决，但费用由招标人负担。</w:t>
      </w:r>
    </w:p>
    <w:p w14:paraId="739111B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质量保证期内如发生由于制造、工艺或材料缺陷而造成的质量问题，中标人在接到招标人书面通知 1日内(以发出日期为准)给予答复，如果中标人对招标人提出的索赔负有责任，中标人应负责修理、更换 或退货，并承担由此发生的一切损失和费用。如逾期不予答复和处理，则视为上述索赔已被接受，中标 人应承担由此发生的一切损失和费用。</w:t>
      </w:r>
    </w:p>
    <w:p w14:paraId="6EC98043">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售后服务要求：</w:t>
      </w:r>
    </w:p>
    <w:p w14:paraId="72B40E9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 卖方负责对招标人操作人员进行免费的培训(培训费均已包含在合同总价中);</w:t>
      </w:r>
    </w:p>
    <w:p w14:paraId="301CCB0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在质保期内，卖方对合同约定的质量标准、技术标准负责，在此期间非买方原因出现的货物问题，卖方对货物问题及时提供服务，免费维修、更换损坏部件，并承担由此产生的一切损失；出现问题，服务必须做到24小时服务，省内有维保点的6小时内赶到现场，省内无维保点的12小时内赶到现 场，并连续进行直至修复。在上述时限内卖方未赶到，买方可采取必要的补救措施，但其风险和费用由卖方全额承担，买方按合同规定，对卖方行使的其他权利不受影响在质保期外使用寿命内(请注明使用寿命)供方对设备提供终身服务，且对设备的维修只收取材料成本费。</w:t>
      </w:r>
    </w:p>
    <w:p w14:paraId="09FE003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中标人提交一份有关质保及售后服务承诺书，至少包括下列内容：</w:t>
      </w:r>
    </w:p>
    <w:p w14:paraId="644C8AE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(1)详细列明供应的货物保修、保养服务的内容、方法和提供的优惠条件。</w:t>
      </w:r>
    </w:p>
    <w:p w14:paraId="3B985E9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设备材料规格及具体质量要求</w:t>
      </w:r>
    </w:p>
    <w:p w14:paraId="6336658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详见采购及安装项目清单中材质、规格、尺寸等相关要求。</w:t>
      </w:r>
    </w:p>
    <w:p w14:paraId="39BB92C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投标人必须对招标文件中所提要求逐项做出实质性应答，任何差异必须列表说明。招标人只接受等同于或优于本技术规格书规定的技术指标和所使用的标准。</w:t>
      </w:r>
    </w:p>
    <w:p w14:paraId="215F556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提供的货物须包括以下工作服务但不仅限于以下内容：</w:t>
      </w:r>
    </w:p>
    <w:p w14:paraId="3F1183F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中标人按需方的需要完成货物的生产和细化及深化设计(制作详图)。供方须委派有三年以上专业经验的家具制作设计师，负责与室内设计师及供方进行协商。对细节及装配图作出深化和确定，深化设计(制作详图)需由需方和室内设计师签字确认；供方按需方和室内设计师签字确认的深化设计 (制造详图)生产前，所有家具的尺寸必须到现场复核，如现场尺寸、数量有较大变化时以现场实地测量为准，若供方未根据现场情况调整复核的尺寸造成的损失，责任由供方负责：深化设计图(制作详 图)经需方和室内设计师签字认可后，方可进行生产。</w:t>
      </w:r>
    </w:p>
    <w:p w14:paraId="6C134DF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供方须积极配合需方在所有家具正式生产前的样品打样工作，打样的货物由需方和室内设计师进行验收确认，如打样的货物不能满足需方要求或验收不合格，供方应重新打样，直至满足需方的要求为止，一切费用由供方负责。通过验收的打样样品作为最终验收的依据。</w:t>
      </w:r>
    </w:p>
    <w:p w14:paraId="383339D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(3)按需方认可的方案进行货物的</w:t>
      </w:r>
      <w:r>
        <w:rPr>
          <w:rFonts w:hint="eastAsia" w:ascii="宋体" w:hAnsi="宋体" w:cs="宋体"/>
          <w:color w:val="auto"/>
          <w:sz w:val="24"/>
          <w:szCs w:val="24"/>
          <w:highlight w:val="none"/>
          <w:lang w:val="en-US" w:eastAsia="zh-CN"/>
        </w:rPr>
        <w:t>打包</w:t>
      </w:r>
      <w:r>
        <w:rPr>
          <w:rFonts w:hint="eastAsia" w:ascii="宋体" w:hAnsi="宋体" w:cs="宋体"/>
          <w:color w:val="auto"/>
          <w:sz w:val="24"/>
          <w:szCs w:val="24"/>
          <w:highlight w:val="none"/>
        </w:rPr>
        <w:t>，运输</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到货就位</w:t>
      </w:r>
      <w:r>
        <w:rPr>
          <w:rFonts w:hint="eastAsia" w:ascii="宋体" w:hAnsi="宋体" w:cs="宋体"/>
          <w:color w:val="auto"/>
          <w:sz w:val="24"/>
          <w:szCs w:val="24"/>
          <w:highlight w:val="none"/>
        </w:rPr>
        <w:t>。</w:t>
      </w:r>
    </w:p>
    <w:p w14:paraId="611D8A0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(4)运输：货物运输并卸至需方指定地点。</w:t>
      </w:r>
    </w:p>
    <w:p w14:paraId="27AD098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(5)按采购人指定位置和要求完成安装就位(安装所需的设备</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工具、脚手架、水电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总包配合费等所有与完成采购有关的费用应包含在投标报价中)。</w:t>
      </w:r>
    </w:p>
    <w:p w14:paraId="70A3B95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(6)在货物就位、</w:t>
      </w:r>
      <w:r>
        <w:rPr>
          <w:rFonts w:hint="eastAsia" w:ascii="宋体" w:hAnsi="宋体" w:cs="宋体"/>
          <w:color w:val="auto"/>
          <w:sz w:val="24"/>
          <w:szCs w:val="24"/>
          <w:highlight w:val="none"/>
          <w:lang w:val="en-US" w:eastAsia="zh-CN"/>
        </w:rPr>
        <w:t>安装</w:t>
      </w:r>
      <w:r>
        <w:rPr>
          <w:rFonts w:hint="eastAsia" w:ascii="宋体" w:hAnsi="宋体" w:cs="宋体"/>
          <w:color w:val="auto"/>
          <w:sz w:val="24"/>
          <w:szCs w:val="24"/>
          <w:highlight w:val="none"/>
        </w:rPr>
        <w:t>之前须提供详细的构造图</w:t>
      </w:r>
      <w:r>
        <w:rPr>
          <w:rFonts w:hint="eastAsia" w:ascii="宋体" w:hAnsi="宋体" w:cs="宋体"/>
          <w:color w:val="auto"/>
          <w:sz w:val="24"/>
          <w:szCs w:val="24"/>
          <w:highlight w:val="none"/>
          <w:lang w:val="en-US" w:eastAsia="zh-CN"/>
        </w:rPr>
        <w:t>及</w:t>
      </w:r>
      <w:r>
        <w:rPr>
          <w:rFonts w:hint="eastAsia" w:ascii="宋体" w:hAnsi="宋体" w:cs="宋体"/>
          <w:color w:val="auto"/>
          <w:sz w:val="24"/>
          <w:szCs w:val="24"/>
          <w:highlight w:val="none"/>
        </w:rPr>
        <w:t>使用操作说明书。</w:t>
      </w:r>
    </w:p>
    <w:p w14:paraId="249B855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中标后，供方提供深化设计方案时明确具体的款式及材质等，并经需方认可，按需方认可的设计方案供费，根据家具生产要求的物料清单，在采购前向需方及室内设计师呈相关样品并得到认可后，确保在材料上达到设计的意图及效果，且必须按照设计的要求选用材质及配件进行生产，但中标单价不予调整，此风险投标人在投标报价中自行考虑。</w:t>
      </w:r>
    </w:p>
    <w:p w14:paraId="75C27A2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(8)所供货物通过有关部门的检验和试验。并承担所需费用。</w:t>
      </w:r>
    </w:p>
    <w:p w14:paraId="685AF0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(9)需方如需做第三方检测，检测合格检测费由需方负责，但检测材料须由供方免费提供；如检测不合格，一切费用由供方负责。</w:t>
      </w:r>
    </w:p>
    <w:p w14:paraId="28F8D2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(10)供方必须负责所提供的产品通过相关部门组织的验收，直至取得验收证书。验收费用包含在投标总价中。</w:t>
      </w:r>
    </w:p>
    <w:p w14:paraId="51BC74A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上述标准、规范及规程仅是本工程的最基本依据，并未包括实施中所涉及的所有标准、规范和规程，且这些标准、规范和规程均应为合同签订之日为止时的最新版本，不限制投标人使用国家现行有效 的其他与本次比选货物有关的制造、安装的标准及规范。</w:t>
      </w:r>
    </w:p>
    <w:p w14:paraId="227052A5">
      <w:pPr>
        <w:pStyle w:val="19"/>
        <w:numPr>
          <w:ilvl w:val="0"/>
          <w:numId w:val="0"/>
        </w:numPr>
        <w:jc w:val="both"/>
        <w:rPr>
          <w:rFonts w:hint="eastAsia" w:ascii="宋体" w:hAnsi="宋体" w:cs="宋体"/>
          <w:b/>
          <w:color w:val="auto"/>
          <w:sz w:val="21"/>
          <w:szCs w:val="21"/>
          <w:highlight w:val="none"/>
        </w:rPr>
      </w:pPr>
    </w:p>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二、</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8"/>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05A68F6">
      <w:pPr>
        <w:bidi w:val="0"/>
        <w:rPr>
          <w:rFonts w:hint="eastAsia"/>
          <w:color w:val="auto"/>
          <w:highlight w:val="none"/>
          <w:lang w:val="en-US" w:eastAsia="zh-CN"/>
        </w:rPr>
      </w:pPr>
    </w:p>
    <w:p w14:paraId="0D37D0FD">
      <w:pPr>
        <w:bidi w:val="0"/>
        <w:rPr>
          <w:rFonts w:hint="eastAsia"/>
          <w:color w:val="auto"/>
          <w:highlight w:val="none"/>
          <w:lang w:val="en-US" w:eastAsia="zh-CN"/>
        </w:rPr>
      </w:pPr>
    </w:p>
    <w:p w14:paraId="16373FA0">
      <w:pPr>
        <w:bidi w:val="0"/>
        <w:rPr>
          <w:rFonts w:hint="eastAsia"/>
          <w:color w:val="auto"/>
          <w:highlight w:val="none"/>
          <w:lang w:val="en-US" w:eastAsia="zh-CN"/>
        </w:rPr>
      </w:pPr>
    </w:p>
    <w:p w14:paraId="3D7B72F4">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14141"/>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4"/>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7083712D">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安徽省交通控股集团有限公司2025年度</w:t>
      </w:r>
    </w:p>
    <w:p w14:paraId="2477EB13">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新建改建路段服务区家具</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20091"/>
      <w:bookmarkStart w:id="70" w:name="_Toc2527"/>
      <w:bookmarkStart w:id="71" w:name="_Toc15601"/>
      <w:bookmarkStart w:id="72" w:name="_Toc11988"/>
      <w:bookmarkStart w:id="73" w:name="_Toc11846"/>
      <w:bookmarkStart w:id="74" w:name="_Toc6480"/>
      <w:bookmarkStart w:id="75" w:name="_Toc26150"/>
      <w:bookmarkStart w:id="76" w:name="_Toc26098"/>
      <w:bookmarkStart w:id="77" w:name="_Toc10074"/>
      <w:bookmarkStart w:id="78" w:name="_Toc27167"/>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bookmarkEnd w:id="77"/>
      <w:bookmarkEnd w:id="78"/>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9" w:name="_Toc25232_WPSOffice_Level2"/>
      <w:bookmarkStart w:id="80"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9"/>
      <w:bookmarkEnd w:id="80"/>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1" w:name="_Toc31577_WPSOffice_Level2"/>
      <w:bookmarkStart w:id="82"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1"/>
      <w:bookmarkEnd w:id="82"/>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3" w:name="_Toc1219"/>
      <w:bookmarkStart w:id="84" w:name="_Toc25724"/>
      <w:bookmarkStart w:id="85" w:name="_Toc21704"/>
      <w:bookmarkStart w:id="86" w:name="_Toc11330"/>
      <w:bookmarkStart w:id="87" w:name="_Toc32504"/>
      <w:bookmarkStart w:id="88" w:name="_Toc24654"/>
      <w:bookmarkStart w:id="89" w:name="_Toc2795"/>
      <w:bookmarkStart w:id="90" w:name="_Toc888"/>
      <w:bookmarkStart w:id="91" w:name="_Toc14379"/>
      <w:bookmarkStart w:id="92" w:name="_Toc248"/>
      <w:r>
        <w:rPr>
          <w:rFonts w:hint="eastAsia" w:ascii="黑体" w:hAnsi="黑体" w:eastAsia="黑体" w:cs="黑体"/>
          <w:b/>
          <w:bCs/>
          <w:color w:val="auto"/>
          <w:sz w:val="28"/>
          <w:szCs w:val="28"/>
          <w:highlight w:val="none"/>
        </w:rPr>
        <w:t>一、响应函（不含报价）</w:t>
      </w:r>
      <w:bookmarkEnd w:id="68"/>
      <w:bookmarkEnd w:id="83"/>
      <w:bookmarkEnd w:id="84"/>
      <w:bookmarkEnd w:id="85"/>
      <w:bookmarkEnd w:id="86"/>
      <w:bookmarkEnd w:id="87"/>
      <w:bookmarkEnd w:id="88"/>
      <w:bookmarkEnd w:id="89"/>
      <w:bookmarkEnd w:id="90"/>
      <w:bookmarkEnd w:id="91"/>
      <w:bookmarkEnd w:id="92"/>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安徽省交通控股集团有限公司2025年度新建改建路段服务区</w:t>
      </w:r>
      <w:r>
        <w:rPr>
          <w:rFonts w:hint="eastAsia" w:ascii="宋体" w:hAnsi="宋体" w:cs="宋体"/>
          <w:color w:val="auto"/>
          <w:sz w:val="24"/>
          <w:szCs w:val="24"/>
          <w:highlight w:val="none"/>
          <w:u w:val="single"/>
          <w:lang w:eastAsia="zh-CN"/>
        </w:rPr>
        <w:t>家具</w:t>
      </w:r>
      <w:r>
        <w:rPr>
          <w:rFonts w:hint="eastAsia" w:ascii="宋体" w:hAnsi="宋体" w:cs="宋体"/>
          <w:color w:val="auto"/>
          <w:sz w:val="24"/>
          <w:szCs w:val="24"/>
          <w:highlight w:val="none"/>
          <w:u w:val="single"/>
        </w:rPr>
        <w:t>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3" w:name="_Hlk122530524"/>
      <w:r>
        <w:rPr>
          <w:rFonts w:hint="eastAsia" w:ascii="宋体" w:hAnsi="宋体" w:cs="宋体"/>
          <w:color w:val="auto"/>
          <w:sz w:val="24"/>
          <w:szCs w:val="24"/>
          <w:highlight w:val="none"/>
          <w:u w:val="single"/>
        </w:rPr>
        <w:t xml:space="preserve">                         </w:t>
      </w:r>
      <w:bookmarkEnd w:id="93"/>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9"/>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2"/>
        <w:numPr>
          <w:ilvl w:val="0"/>
          <w:numId w:val="0"/>
        </w:numPr>
        <w:rPr>
          <w:rFonts w:hint="default" w:ascii="黑体" w:hAnsi="黑体" w:eastAsia="黑体" w:cs="黑体"/>
          <w:b w:val="0"/>
          <w:bCs w:val="0"/>
          <w:color w:val="auto"/>
          <w:sz w:val="28"/>
          <w:szCs w:val="28"/>
          <w:highlight w:val="none"/>
        </w:rPr>
      </w:pPr>
      <w:bookmarkStart w:id="94" w:name="_Toc23511"/>
      <w:bookmarkStart w:id="95" w:name="_Toc16965"/>
      <w:bookmarkStart w:id="96" w:name="_Toc15184"/>
      <w:bookmarkStart w:id="97" w:name="_Toc10497"/>
      <w:bookmarkStart w:id="98" w:name="_Toc28522"/>
      <w:bookmarkStart w:id="99" w:name="_Toc28024"/>
      <w:bookmarkStart w:id="100" w:name="_Toc5068"/>
      <w:bookmarkStart w:id="101" w:name="_Toc23378"/>
      <w:bookmarkStart w:id="102" w:name="_Toc21398"/>
      <w:bookmarkStart w:id="103" w:name="_Toc6369"/>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4"/>
      <w:bookmarkEnd w:id="95"/>
      <w:bookmarkEnd w:id="96"/>
      <w:bookmarkEnd w:id="97"/>
      <w:bookmarkEnd w:id="98"/>
      <w:bookmarkEnd w:id="99"/>
      <w:bookmarkEnd w:id="100"/>
      <w:bookmarkEnd w:id="101"/>
      <w:bookmarkEnd w:id="102"/>
      <w:bookmarkEnd w:id="103"/>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w:t>
      </w:r>
      <w:r>
        <w:rPr>
          <w:rFonts w:hint="eastAsia" w:ascii="Times New Roman" w:hAnsi="Times New Roman" w:eastAsia="宋体" w:cs="Times New Roman"/>
          <w:color w:val="auto"/>
          <w:kern w:val="2"/>
          <w:sz w:val="24"/>
          <w:szCs w:val="24"/>
          <w:highlight w:val="none"/>
          <w:u w:val="single"/>
          <w:lang w:val="en-US" w:eastAsia="zh-CN" w:bidi="ar"/>
        </w:rPr>
        <w:t>家具</w:t>
      </w:r>
      <w:r>
        <w:rPr>
          <w:rFonts w:hint="default" w:ascii="Times New Roman" w:hAnsi="Times New Roman" w:eastAsia="宋体" w:cs="Times New Roman"/>
          <w:color w:val="auto"/>
          <w:kern w:val="2"/>
          <w:sz w:val="24"/>
          <w:szCs w:val="24"/>
          <w:highlight w:val="none"/>
          <w:u w:val="single"/>
          <w:lang w:val="en-US" w:eastAsia="zh-CN" w:bidi="ar"/>
        </w:rPr>
        <w:t>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4" w:name="_Toc30116"/>
      <w:bookmarkStart w:id="105" w:name="_Toc23593"/>
      <w:bookmarkStart w:id="106" w:name="_Toc26457"/>
      <w:bookmarkStart w:id="107" w:name="_Toc7674"/>
      <w:bookmarkStart w:id="108" w:name="_Toc23112"/>
      <w:bookmarkStart w:id="109" w:name="_Toc19890"/>
      <w:bookmarkStart w:id="110" w:name="_Toc24785"/>
      <w:bookmarkStart w:id="111" w:name="_Toc28296"/>
      <w:bookmarkStart w:id="112" w:name="_Toc16245"/>
      <w:bookmarkStart w:id="113" w:name="_Toc2224"/>
      <w:bookmarkStart w:id="114" w:name="_Toc22978"/>
      <w:r>
        <w:rPr>
          <w:rFonts w:hint="eastAsia" w:ascii="黑体" w:hAnsi="宋体" w:eastAsia="黑体" w:cs="黑体"/>
          <w:color w:val="auto"/>
          <w:kern w:val="2"/>
          <w:sz w:val="28"/>
          <w:szCs w:val="28"/>
          <w:highlight w:val="none"/>
          <w:lang w:val="en-US" w:eastAsia="zh-CN" w:bidi="ar"/>
        </w:rPr>
        <w:t>三、供应商基本情况</w:t>
      </w:r>
      <w:bookmarkEnd w:id="104"/>
      <w:bookmarkEnd w:id="105"/>
      <w:bookmarkEnd w:id="106"/>
      <w:bookmarkEnd w:id="107"/>
      <w:bookmarkEnd w:id="108"/>
      <w:bookmarkEnd w:id="109"/>
      <w:bookmarkEnd w:id="110"/>
      <w:bookmarkEnd w:id="111"/>
      <w:bookmarkEnd w:id="112"/>
      <w:bookmarkEnd w:id="113"/>
      <w:bookmarkEnd w:id="114"/>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15" w:name="_Toc28901"/>
      <w:bookmarkStart w:id="116" w:name="_Toc12834"/>
      <w:bookmarkStart w:id="117" w:name="_Toc31962"/>
      <w:bookmarkStart w:id="118" w:name="_Toc9989"/>
      <w:bookmarkStart w:id="119" w:name="_Toc7483"/>
      <w:bookmarkStart w:id="120" w:name="_Toc17884"/>
      <w:bookmarkStart w:id="121" w:name="_Toc22364"/>
      <w:bookmarkStart w:id="122" w:name="_Toc27293"/>
      <w:bookmarkStart w:id="123" w:name="_Toc22190"/>
      <w:bookmarkStart w:id="124" w:name="_Toc5395"/>
      <w:bookmarkStart w:id="125" w:name="_Toc26357"/>
      <w:r>
        <w:rPr>
          <w:rFonts w:hint="eastAsia" w:ascii="黑体" w:hAnsi="宋体" w:eastAsia="黑体" w:cs="黑体"/>
          <w:color w:val="auto"/>
          <w:kern w:val="2"/>
          <w:sz w:val="28"/>
          <w:szCs w:val="28"/>
          <w:highlight w:val="none"/>
          <w:lang w:val="en-US" w:eastAsia="zh-CN" w:bidi="ar"/>
        </w:rPr>
        <w:t>四、近年类似业绩情况</w:t>
      </w:r>
      <w:bookmarkEnd w:id="115"/>
      <w:bookmarkEnd w:id="116"/>
      <w:bookmarkEnd w:id="117"/>
      <w:bookmarkEnd w:id="118"/>
      <w:bookmarkEnd w:id="119"/>
      <w:bookmarkEnd w:id="120"/>
      <w:bookmarkEnd w:id="121"/>
      <w:bookmarkEnd w:id="122"/>
      <w:bookmarkEnd w:id="123"/>
      <w:bookmarkEnd w:id="124"/>
      <w:bookmarkEnd w:id="125"/>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26" w:name="_Toc22722"/>
      <w:bookmarkStart w:id="127" w:name="_Toc21498"/>
      <w:bookmarkStart w:id="128" w:name="_Toc24647"/>
      <w:bookmarkStart w:id="129" w:name="_Toc6439"/>
      <w:bookmarkStart w:id="130" w:name="_Toc29607"/>
      <w:bookmarkStart w:id="131" w:name="_Toc15354"/>
      <w:bookmarkStart w:id="132" w:name="_Toc14517"/>
      <w:bookmarkStart w:id="133" w:name="_Toc23165"/>
      <w:bookmarkStart w:id="134" w:name="_Toc27124"/>
      <w:bookmarkStart w:id="135" w:name="_Toc165"/>
      <w:bookmarkStart w:id="136" w:name="_Toc22646"/>
      <w:r>
        <w:rPr>
          <w:rFonts w:hint="eastAsia" w:ascii="黑体" w:hAnsi="宋体" w:eastAsia="黑体" w:cs="黑体"/>
          <w:color w:val="auto"/>
          <w:kern w:val="2"/>
          <w:sz w:val="28"/>
          <w:szCs w:val="28"/>
          <w:highlight w:val="none"/>
          <w:lang w:val="en-US" w:eastAsia="zh-CN" w:bidi="ar"/>
        </w:rPr>
        <w:t>五、信誉情况</w:t>
      </w:r>
      <w:bookmarkEnd w:id="126"/>
      <w:bookmarkEnd w:id="127"/>
      <w:bookmarkEnd w:id="128"/>
      <w:bookmarkEnd w:id="129"/>
      <w:bookmarkEnd w:id="130"/>
      <w:bookmarkEnd w:id="131"/>
      <w:bookmarkEnd w:id="132"/>
      <w:bookmarkEnd w:id="133"/>
      <w:bookmarkEnd w:id="134"/>
      <w:bookmarkEnd w:id="135"/>
      <w:bookmarkEnd w:id="136"/>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37" w:name="_Toc10389"/>
      <w:bookmarkStart w:id="138" w:name="_Toc11349"/>
      <w:bookmarkStart w:id="139" w:name="_Toc24578"/>
      <w:bookmarkStart w:id="140" w:name="_Toc15048"/>
      <w:bookmarkStart w:id="141" w:name="_Toc22047"/>
      <w:bookmarkStart w:id="142" w:name="_Toc29972"/>
      <w:bookmarkStart w:id="143" w:name="_Toc22954"/>
      <w:bookmarkStart w:id="144" w:name="_Toc28465"/>
      <w:bookmarkStart w:id="145" w:name="_Toc8836"/>
      <w:bookmarkStart w:id="146" w:name="_Toc30422"/>
      <w:bookmarkStart w:id="147" w:name="_Toc1569"/>
      <w:r>
        <w:rPr>
          <w:rFonts w:hint="eastAsia" w:ascii="黑体" w:hAnsi="宋体" w:eastAsia="黑体" w:cs="黑体"/>
          <w:color w:val="auto"/>
          <w:kern w:val="2"/>
          <w:sz w:val="28"/>
          <w:szCs w:val="28"/>
          <w:highlight w:val="none"/>
          <w:lang w:val="en-US" w:eastAsia="zh-CN" w:bidi="ar"/>
        </w:rPr>
        <w:t>六、企业实力</w:t>
      </w:r>
      <w:bookmarkEnd w:id="137"/>
      <w:bookmarkEnd w:id="138"/>
      <w:bookmarkEnd w:id="139"/>
      <w:bookmarkEnd w:id="140"/>
      <w:bookmarkEnd w:id="141"/>
      <w:bookmarkEnd w:id="142"/>
      <w:bookmarkEnd w:id="143"/>
      <w:bookmarkEnd w:id="144"/>
      <w:bookmarkEnd w:id="145"/>
      <w:bookmarkEnd w:id="146"/>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8"/>
        <w:rPr>
          <w:rFonts w:hint="eastAsia" w:ascii="黑体" w:hAnsi="宋体" w:eastAsia="黑体" w:cs="黑体"/>
          <w:color w:val="auto"/>
          <w:kern w:val="2"/>
          <w:sz w:val="28"/>
          <w:szCs w:val="28"/>
          <w:highlight w:val="none"/>
          <w:lang w:val="en-US" w:eastAsia="zh-CN" w:bidi="ar"/>
        </w:rPr>
      </w:pPr>
    </w:p>
    <w:p w14:paraId="6FF13152">
      <w:pPr>
        <w:pStyle w:val="9"/>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8"/>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47"/>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default" w:ascii="Times New Roman" w:hAnsi="Times New Roman" w:eastAsia="黑体" w:cs="Times New Roman"/>
          <w:color w:val="auto"/>
          <w:kern w:val="2"/>
          <w:sz w:val="28"/>
          <w:szCs w:val="28"/>
          <w:highlight w:val="none"/>
          <w:lang w:val="en-US" w:eastAsia="zh-CN" w:bidi="ar"/>
        </w:rPr>
        <w:t xml:space="preserve"> </w:t>
      </w:r>
      <w:bookmarkStart w:id="148" w:name="_Toc31378"/>
      <w:bookmarkStart w:id="149" w:name="_Toc5689"/>
      <w:bookmarkStart w:id="150" w:name="_Toc28805"/>
      <w:bookmarkStart w:id="151" w:name="_Toc27742"/>
      <w:bookmarkStart w:id="152" w:name="_Toc32620"/>
      <w:bookmarkStart w:id="153" w:name="_Toc7605"/>
      <w:bookmarkStart w:id="154" w:name="_Toc3549"/>
      <w:bookmarkStart w:id="155" w:name="_Toc22943"/>
      <w:bookmarkStart w:id="156" w:name="_Toc16215"/>
      <w:bookmarkStart w:id="157" w:name="_Toc18557"/>
      <w:bookmarkStart w:id="158" w:name="_Toc7941"/>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48"/>
      <w:r>
        <w:rPr>
          <w:rFonts w:hint="eastAsia" w:ascii="Times New Roman" w:hAnsi="Times New Roman" w:eastAsia="黑体"/>
          <w:color w:val="auto"/>
          <w:sz w:val="28"/>
          <w:szCs w:val="28"/>
          <w:highlight w:val="none"/>
          <w:lang w:val="en-US" w:eastAsia="zh-CN"/>
        </w:rPr>
        <w:t>供货方案</w:t>
      </w:r>
      <w:bookmarkEnd w:id="149"/>
      <w:bookmarkEnd w:id="150"/>
      <w:bookmarkEnd w:id="151"/>
      <w:bookmarkEnd w:id="152"/>
      <w:bookmarkEnd w:id="153"/>
      <w:bookmarkEnd w:id="154"/>
      <w:bookmarkEnd w:id="155"/>
      <w:bookmarkEnd w:id="156"/>
      <w:bookmarkEnd w:id="157"/>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9" w:name="_Toc15543"/>
      <w:bookmarkStart w:id="160" w:name="_Toc16936"/>
      <w:bookmarkStart w:id="161" w:name="_Toc3565"/>
      <w:bookmarkStart w:id="162" w:name="_Toc6951"/>
      <w:bookmarkStart w:id="163" w:name="_Toc10923"/>
      <w:bookmarkStart w:id="164" w:name="_Toc18620"/>
      <w:bookmarkStart w:id="165" w:name="_Toc9123"/>
      <w:bookmarkStart w:id="166" w:name="_Toc7901"/>
      <w:bookmarkStart w:id="167" w:name="_Toc4217"/>
      <w:bookmarkStart w:id="168" w:name="_Toc31968"/>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9"/>
      <w:bookmarkEnd w:id="160"/>
      <w:bookmarkEnd w:id="161"/>
      <w:bookmarkEnd w:id="162"/>
      <w:bookmarkEnd w:id="163"/>
      <w:bookmarkEnd w:id="164"/>
      <w:bookmarkEnd w:id="165"/>
      <w:bookmarkEnd w:id="166"/>
      <w:bookmarkEnd w:id="167"/>
      <w:bookmarkEnd w:id="168"/>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8"/>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58"/>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69"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70" w:name="_Toc8048"/>
      <w:bookmarkStart w:id="171" w:name="_Toc9218"/>
      <w:bookmarkStart w:id="172" w:name="_Toc31164"/>
      <w:bookmarkStart w:id="173" w:name="_Toc11806"/>
      <w:bookmarkStart w:id="174" w:name="_Toc3896"/>
      <w:bookmarkStart w:id="175" w:name="_Toc24459"/>
      <w:bookmarkStart w:id="176" w:name="_Toc28647"/>
      <w:bookmarkStart w:id="177" w:name="_Toc15049"/>
      <w:bookmarkStart w:id="178" w:name="_Toc26159"/>
      <w:bookmarkStart w:id="179" w:name="_Toc5282"/>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70"/>
      <w:r>
        <w:rPr>
          <w:rFonts w:hint="eastAsia" w:ascii="Times New Roman" w:hAnsi="Times New Roman" w:eastAsia="黑体"/>
          <w:color w:val="auto"/>
          <w:sz w:val="28"/>
          <w:szCs w:val="28"/>
          <w:highlight w:val="none"/>
          <w:lang w:val="en-US" w:eastAsia="zh-CN"/>
        </w:rPr>
        <w:t>售后服务方案</w:t>
      </w:r>
      <w:bookmarkEnd w:id="171"/>
      <w:bookmarkEnd w:id="172"/>
      <w:bookmarkEnd w:id="173"/>
      <w:bookmarkEnd w:id="174"/>
      <w:bookmarkEnd w:id="175"/>
      <w:bookmarkEnd w:id="176"/>
      <w:bookmarkEnd w:id="177"/>
      <w:bookmarkEnd w:id="178"/>
      <w:bookmarkEnd w:id="179"/>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80" w:name="_Toc30922"/>
      <w:bookmarkStart w:id="181" w:name="_Toc7980"/>
      <w:bookmarkStart w:id="182" w:name="_Toc6095"/>
      <w:bookmarkStart w:id="183" w:name="_Toc9931"/>
      <w:bookmarkStart w:id="184" w:name="_Toc11461"/>
      <w:bookmarkStart w:id="185" w:name="_Toc26157"/>
      <w:bookmarkStart w:id="186" w:name="_Toc29460"/>
      <w:bookmarkStart w:id="187" w:name="_Toc25621"/>
      <w:bookmarkStart w:id="188" w:name="_Toc7405"/>
      <w:bookmarkStart w:id="189" w:name="_Toc2350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80"/>
      <w:bookmarkEnd w:id="181"/>
      <w:bookmarkEnd w:id="182"/>
      <w:bookmarkEnd w:id="183"/>
      <w:bookmarkEnd w:id="184"/>
      <w:bookmarkEnd w:id="185"/>
      <w:bookmarkEnd w:id="186"/>
      <w:bookmarkEnd w:id="187"/>
      <w:bookmarkEnd w:id="188"/>
      <w:bookmarkEnd w:id="189"/>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90" w:name="_Toc15284"/>
      <w:bookmarkStart w:id="191" w:name="_Toc24671"/>
      <w:bookmarkStart w:id="192" w:name="_Toc14186"/>
      <w:bookmarkStart w:id="193" w:name="_Toc11900"/>
      <w:bookmarkStart w:id="194" w:name="_Toc30952"/>
      <w:bookmarkStart w:id="195" w:name="_Toc16480"/>
      <w:bookmarkStart w:id="196" w:name="_Toc22621"/>
      <w:bookmarkStart w:id="197" w:name="_Toc29067"/>
      <w:bookmarkStart w:id="198" w:name="_Toc31636"/>
      <w:bookmarkStart w:id="199" w:name="_Toc4963"/>
      <w:r>
        <w:rPr>
          <w:rFonts w:hint="eastAsia" w:ascii="黑体" w:hAnsi="宋体" w:eastAsia="黑体" w:cs="黑体"/>
          <w:color w:val="auto"/>
          <w:kern w:val="2"/>
          <w:sz w:val="28"/>
          <w:szCs w:val="28"/>
          <w:highlight w:val="none"/>
          <w:lang w:val="en-US" w:eastAsia="zh-CN" w:bidi="ar"/>
        </w:rPr>
        <w:t>九、承诺书</w:t>
      </w:r>
      <w:bookmarkEnd w:id="169"/>
      <w:bookmarkEnd w:id="190"/>
      <w:bookmarkEnd w:id="191"/>
      <w:bookmarkEnd w:id="192"/>
      <w:bookmarkEnd w:id="193"/>
      <w:bookmarkEnd w:id="194"/>
      <w:bookmarkEnd w:id="195"/>
      <w:bookmarkEnd w:id="196"/>
      <w:bookmarkEnd w:id="197"/>
      <w:bookmarkEnd w:id="198"/>
      <w:bookmarkEnd w:id="199"/>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安徽省交通控股集团有限公司2025年度新建改建路段服务区家具采购及安装项目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00" w:name="_Toc31058"/>
      <w:bookmarkStart w:id="201" w:name="_Toc10955"/>
      <w:bookmarkStart w:id="202" w:name="_Toc3055"/>
      <w:bookmarkStart w:id="203" w:name="_Toc30685"/>
      <w:bookmarkStart w:id="204" w:name="_Toc18523"/>
      <w:bookmarkStart w:id="205" w:name="_Toc11711"/>
      <w:bookmarkStart w:id="206" w:name="_Toc10121"/>
      <w:bookmarkStart w:id="207" w:name="_Toc3008"/>
      <w:bookmarkStart w:id="208" w:name="_Toc30427"/>
      <w:bookmarkStart w:id="209" w:name="_Toc2975"/>
      <w:bookmarkStart w:id="210" w:name="_Toc23567"/>
      <w:r>
        <w:rPr>
          <w:rFonts w:hint="eastAsia" w:ascii="黑体" w:hAnsi="宋体" w:eastAsia="黑体" w:cs="黑体"/>
          <w:color w:val="auto"/>
          <w:kern w:val="2"/>
          <w:sz w:val="28"/>
          <w:szCs w:val="28"/>
          <w:highlight w:val="none"/>
          <w:lang w:val="en-US" w:eastAsia="zh-CN" w:bidi="ar"/>
        </w:rPr>
        <w:t>十、其他材料</w:t>
      </w:r>
      <w:bookmarkEnd w:id="200"/>
      <w:bookmarkEnd w:id="201"/>
      <w:bookmarkEnd w:id="202"/>
      <w:bookmarkEnd w:id="203"/>
      <w:bookmarkEnd w:id="204"/>
      <w:bookmarkEnd w:id="205"/>
      <w:bookmarkEnd w:id="206"/>
      <w:bookmarkEnd w:id="207"/>
      <w:bookmarkEnd w:id="208"/>
      <w:bookmarkEnd w:id="209"/>
      <w:bookmarkEnd w:id="210"/>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0B1A2A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安徽省交通控股集团有限公司2025年度</w:t>
      </w:r>
    </w:p>
    <w:p w14:paraId="2DF83A6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新建改建路段服务区家具</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211" w:name="_Toc4837"/>
      <w:bookmarkStart w:id="212" w:name="_Toc30033"/>
      <w:bookmarkStart w:id="213" w:name="_Toc977"/>
      <w:bookmarkStart w:id="214" w:name="_Toc10608"/>
      <w:bookmarkStart w:id="215" w:name="_Toc21076"/>
      <w:bookmarkStart w:id="216" w:name="_Toc10029"/>
      <w:bookmarkStart w:id="217" w:name="_Toc23972"/>
      <w:bookmarkStart w:id="218" w:name="_Toc28949"/>
      <w:bookmarkStart w:id="219" w:name="_Toc2786"/>
      <w:bookmarkStart w:id="220" w:name="_Toc24213"/>
      <w:bookmarkStart w:id="221" w:name="_Toc12209"/>
      <w:r>
        <w:rPr>
          <w:rFonts w:ascii="Times New Roman" w:hAnsi="Times New Roman" w:eastAsia="黑体" w:cs="Times New Roman"/>
          <w:color w:val="auto"/>
          <w:sz w:val="50"/>
          <w:szCs w:val="50"/>
          <w:highlight w:val="none"/>
        </w:rPr>
        <w:t>响  应  文  件</w:t>
      </w:r>
      <w:bookmarkEnd w:id="211"/>
      <w:bookmarkEnd w:id="212"/>
      <w:bookmarkEnd w:id="213"/>
      <w:bookmarkEnd w:id="214"/>
      <w:bookmarkEnd w:id="215"/>
      <w:bookmarkEnd w:id="216"/>
      <w:bookmarkEnd w:id="217"/>
      <w:bookmarkEnd w:id="218"/>
      <w:bookmarkEnd w:id="219"/>
      <w:bookmarkEnd w:id="220"/>
      <w:bookmarkEnd w:id="221"/>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22" w:name="_Toc1687_WPSOffice_Level1"/>
      <w:bookmarkStart w:id="223" w:name="_Toc8703"/>
      <w:bookmarkStart w:id="224" w:name="_Toc2765_WPSOffice_Level1"/>
      <w:bookmarkStart w:id="225" w:name="_Toc24269_WPSOffice_Level1"/>
      <w:bookmarkStart w:id="226" w:name="_Toc18312_WPSOffice_Level1"/>
      <w:bookmarkStart w:id="227" w:name="_Toc23583"/>
      <w:bookmarkStart w:id="228" w:name="_Toc29399_WPSOffice_Level1"/>
      <w:bookmarkStart w:id="229" w:name="_Toc29968"/>
      <w:bookmarkStart w:id="230" w:name="_Toc15092"/>
      <w:bookmarkStart w:id="231" w:name="_Toc30031_WPSOffice_Level1"/>
      <w:bookmarkStart w:id="232" w:name="_Toc1924"/>
      <w:bookmarkStart w:id="233" w:name="_Toc11805_WPSOffice_Level1"/>
      <w:r>
        <w:rPr>
          <w:rFonts w:hint="eastAsia" w:ascii="黑体" w:hAnsi="黑体" w:eastAsia="黑体" w:cs="黑体"/>
          <w:b w:val="0"/>
          <w:bCs/>
          <w:color w:val="auto"/>
          <w:sz w:val="28"/>
          <w:szCs w:val="28"/>
          <w:highlight w:val="none"/>
        </w:rPr>
        <w:t>一、</w:t>
      </w:r>
      <w:bookmarkEnd w:id="222"/>
      <w:bookmarkEnd w:id="223"/>
      <w:bookmarkEnd w:id="224"/>
      <w:bookmarkEnd w:id="225"/>
      <w:bookmarkEnd w:id="226"/>
      <w:bookmarkEnd w:id="227"/>
      <w:bookmarkEnd w:id="228"/>
      <w:bookmarkEnd w:id="229"/>
      <w:bookmarkEnd w:id="230"/>
      <w:bookmarkEnd w:id="231"/>
      <w:bookmarkEnd w:id="232"/>
      <w:bookmarkEnd w:id="233"/>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安徽省交通控股集团有限公司2025年度新建改建路段服务区</w:t>
      </w:r>
      <w:r>
        <w:rPr>
          <w:rFonts w:hint="eastAsia" w:ascii="Times New Roman" w:hAnsi="Times New Roman" w:cs="Times New Roman"/>
          <w:color w:val="auto"/>
          <w:sz w:val="24"/>
          <w:highlight w:val="none"/>
          <w:u w:val="single"/>
          <w:lang w:eastAsia="zh-CN"/>
        </w:rPr>
        <w:t>家具</w:t>
      </w:r>
      <w:r>
        <w:rPr>
          <w:rFonts w:hint="eastAsia" w:ascii="Times New Roman" w:hAnsi="Times New Roman" w:cs="Times New Roman"/>
          <w:color w:val="auto"/>
          <w:sz w:val="24"/>
          <w:highlight w:val="none"/>
          <w:u w:val="single"/>
        </w:rPr>
        <w:t>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8"/>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9"/>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34" w:name="_Toc162490440"/>
      <w:bookmarkStart w:id="235" w:name="_Toc153421230"/>
      <w:bookmarkStart w:id="236" w:name="_Toc272486050"/>
      <w:r>
        <w:rPr>
          <w:rFonts w:hint="eastAsia" w:ascii="黑体" w:hAnsi="黑体" w:eastAsia="黑体" w:cs="黑体"/>
          <w:b w:val="0"/>
          <w:bCs/>
          <w:color w:val="auto"/>
          <w:sz w:val="28"/>
          <w:szCs w:val="28"/>
          <w:highlight w:val="none"/>
        </w:rPr>
        <w:t>二、</w:t>
      </w:r>
      <w:bookmarkEnd w:id="234"/>
      <w:bookmarkEnd w:id="235"/>
      <w:bookmarkEnd w:id="236"/>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8"/>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11"/>
        <w:gridCol w:w="367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311"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672"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311"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672"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092"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791"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137A6BB-3CF0-4610-A966-6601D465A0A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05F3A15-1D85-4D2A-A9AC-FF93600EFE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BCAE4BC-9B19-4456-BA8D-4ED7EF156F5B}"/>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embedRegular r:id="rId4" w:fontKey="{0D594238-F6CF-4A57-8E99-75D1126FDC25}"/>
  </w:font>
  <w:font w:name="方正小标宋简体">
    <w:panose1 w:val="03000509000000000000"/>
    <w:charset w:val="86"/>
    <w:family w:val="auto"/>
    <w:pitch w:val="default"/>
    <w:sig w:usb0="00000001" w:usb1="080E0000" w:usb2="00000000" w:usb3="00000000" w:csb0="00040000" w:csb1="00000000"/>
    <w:embedRegular r:id="rId5" w:fontKey="{6532ED84-57CD-473B-B02E-19A89133EBEA}"/>
  </w:font>
  <w:font w:name="Wingdings 2">
    <w:panose1 w:val="05020102010507070707"/>
    <w:charset w:val="02"/>
    <w:family w:val="roman"/>
    <w:pitch w:val="default"/>
    <w:sig w:usb0="00000000" w:usb1="00000000" w:usb2="00000000" w:usb3="00000000" w:csb0="80000000" w:csb1="00000000"/>
    <w:embedRegular r:id="rId6" w:fontKey="{853FE2B2-5D41-4053-9EF6-589656825479}"/>
  </w:font>
  <w:font w:name="华文楷体">
    <w:panose1 w:val="02010600040101010101"/>
    <w:charset w:val="86"/>
    <w:family w:val="auto"/>
    <w:pitch w:val="default"/>
    <w:sig w:usb0="00000287" w:usb1="080F0000" w:usb2="00000000" w:usb3="00000000" w:csb0="0004009F" w:csb1="DFD70000"/>
    <w:embedRegular r:id="rId7" w:fontKey="{951A2E63-6813-4DA8-819F-CBC8C7A550CC}"/>
  </w:font>
  <w:font w:name="仿宋_GB2312">
    <w:panose1 w:val="02010609030101010101"/>
    <w:charset w:val="86"/>
    <w:family w:val="modern"/>
    <w:pitch w:val="default"/>
    <w:sig w:usb0="00000001" w:usb1="080E0000" w:usb2="00000000" w:usb3="00000000" w:csb0="00040000" w:csb1="00000000"/>
    <w:embedRegular r:id="rId8" w:fontKey="{3FC745C1-8838-44B1-AEAF-BC6895875146}"/>
  </w:font>
  <w:font w:name="楷体">
    <w:panose1 w:val="02010609060101010101"/>
    <w:charset w:val="86"/>
    <w:family w:val="auto"/>
    <w:pitch w:val="default"/>
    <w:sig w:usb0="800002BF" w:usb1="38CF7CFA" w:usb2="00000016" w:usb3="00000000" w:csb0="00040001" w:csb1="00000000"/>
    <w:embedRegular r:id="rId9" w:fontKey="{F458D17D-65B5-465B-8EEF-6481A22F9A82}"/>
  </w:font>
  <w:font w:name="仿宋">
    <w:panose1 w:val="02010609060101010101"/>
    <w:charset w:val="86"/>
    <w:family w:val="auto"/>
    <w:pitch w:val="default"/>
    <w:sig w:usb0="800002BF" w:usb1="38CF7CFA" w:usb2="00000016" w:usb3="00000000" w:csb0="00040001" w:csb1="00000000"/>
    <w:embedRegular r:id="rId10" w:fontKey="{794FF88F-6780-4F3F-8A23-4F4602629A0A}"/>
  </w:font>
  <w:font w:name="华文中宋">
    <w:panose1 w:val="02010600040101010101"/>
    <w:charset w:val="50"/>
    <w:family w:val="auto"/>
    <w:pitch w:val="default"/>
    <w:sig w:usb0="00000287" w:usb1="080F0000" w:usb2="00000000" w:usb3="00000000" w:csb0="0004009F" w:csb1="DFD70000"/>
    <w:embedRegular r:id="rId11" w:fontKey="{ACBA4673-1026-463F-9529-B9A32F65AEC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D905B1"/>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A47AC9"/>
    <w:rsid w:val="09B13FF7"/>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2B7BD8"/>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A12306"/>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358E6"/>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BE72071"/>
    <w:rsid w:val="3C243C4B"/>
    <w:rsid w:val="3C4D6CFE"/>
    <w:rsid w:val="3C651D50"/>
    <w:rsid w:val="3C8666FD"/>
    <w:rsid w:val="3CA523B3"/>
    <w:rsid w:val="3CAF79B9"/>
    <w:rsid w:val="3CF7310E"/>
    <w:rsid w:val="3CFD709B"/>
    <w:rsid w:val="3D0870C9"/>
    <w:rsid w:val="3D3103CE"/>
    <w:rsid w:val="3D4041F2"/>
    <w:rsid w:val="3D5A25B5"/>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4E7C4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BB7806"/>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AF7005D"/>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E44760"/>
    <w:rsid w:val="4FF260E2"/>
    <w:rsid w:val="50083210"/>
    <w:rsid w:val="501047BA"/>
    <w:rsid w:val="50236B06"/>
    <w:rsid w:val="50493828"/>
    <w:rsid w:val="5051384E"/>
    <w:rsid w:val="50792360"/>
    <w:rsid w:val="507C1E50"/>
    <w:rsid w:val="508A0CCA"/>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10CEF"/>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0FE3819"/>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BF50E61"/>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954F0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8B7A9C"/>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2151</Words>
  <Characters>2330</Characters>
  <Lines>1</Lines>
  <Paragraphs>1</Paragraphs>
  <TotalTime>0</TotalTime>
  <ScaleCrop>false</ScaleCrop>
  <LinksUpToDate>false</LinksUpToDate>
  <CharactersWithSpaces>2426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2025-09-23T12:58:46Z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eyJoZGlkIjoiN2YzNjBkOTgyNWQ1YTMxYzM3MzMwNWFiODNmOWIzYWMiLCJ1c2VySWQiOiI0MDU4NDYwODgifQ==</vt:lpwstr>
  </property>
</Properties>
</file>